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detailed, audit-ready case documentation recording investigation findings, decisions, evidence notes, and corrective actions for seamless review.</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