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95% of cases meeting audit standards on first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