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documented investigation findings, decisions, evidence notes, and corrective actions, maintaining audit-ready case documentation and ensuring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flagged them early, and reduced repeat-issue investigation time before escalation, resulting in enhanced case efficiency and reduced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endpoint security, endpoint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