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identified policy violations and anomalous patterns, and escalated findings to senior reviewers, driving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identify recurring fraud patterns, flagged them early, and reduced repeat-issue investigation time before escalation, enhancing case efficiency.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recording investigation findings, decisions, evidence notes, and corrective actions, ensuring transparent and compliant case management.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based on CVSS scores.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built delta-scan logic for CVE flagging and patch compliance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