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risk and policy eligibility, ensuring compliance with regulatory requirements.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patterns, demonstrating investigative instincts central to risk management.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IT audit.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3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APIs, and leveraging EPSS scoring from FIRST.org API for prioritization.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risk, compliance, audit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