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resolution.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improving case quality and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flagged them early, and reduced repeat-issue investigation time before escalation, demonstrating proactive risk detection and mitigation.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including investigation findings, decisions, evidence notes, and corrective actions, ensuring transparent and compliant case management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