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severity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with 95% of escalated cases resulting in policy corrections.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of documentation meeting audit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30%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