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producing a daily triage summary report for security compliance review.</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enabling timely security risk mitigation.</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Documented audit‑ready case files with investigation findings, evidence notes, and corrective actions, creating a searchable compliance repository for future audits.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multi-API threat intelligence pipeline that submits suspicious URLs and IPs to VirusTotal, AbuseIPDB and URLScan.io and cross‑references WHOIS registration age, DNS records and SSL details for phishing analysis pipeline.</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that generates character‑substitution variants of brand domains and checks live DNS resolution for brand‑impersonation analysis detector.</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and supports bulk CSV input and output for incident response workflows and includes OSINT enrichment via theHarvester for domain profiling bot interface.</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and generated CVE reports classified by CVSS severity and EPSS context from the FIRST.org API pipeline.</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and documented SQL injection exploit and parameterised query remediation checker.</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scheduling script.</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