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prioritizing high-risk cases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to prevent future occurrences.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reducing repeat-issue investigation time through early flagging and corrective actions.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Lead Financial Compliance Analyst at New Relic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Utilized audit-ready documentation to create evidence notes, control validation, and compliance tracking for financial transactions; documented decision trails and corrective actions for audit purposes.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anomaly detection at scale by implementing pattern recognition and repeat-issue flagging for financial compliance; escalated early warnings to relevant stakeholders.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notes, control evidence, and decision trails for financial compliance; ensured compliance tracking and documentation completeness.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Inventory Reimbursement Case Triage at Amazon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