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Risk Analyst at Commvault</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risk identification, control gap analysis, escalation priorities, policy-based risk triage, Python, VirusTotal API, AbuseIPDB, WHOIS, Telegram bot</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Created audit-ready case notes by building a multi-API threat intelligence pipeline that submits suspicious URLs/IPs to VirusTotal, AbuseIPDB, and URLScan.io, and cross-references WHOIS registration age, DNS records, and SSL details for risk identification and control gap analysis.</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a typosquatting domain detector generating character-substitution variants of brand domains and checking live DNS resolution for brand-impersonation analysis and risk identification.</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a Telegram bot interface enabling analysts to submit URLs for live IOC enrichment, supporting bulk CSV input/output for incident response workflows and including OSINT enrichment via theHarvester for domain profiling and risk prioritization.</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Risk Analyst at Commvault</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risk identification, control gap analysis, escalation priorities, policy-based risk triage, Python, Bash, Nessus, OpenVAS, NVD API</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Generated CVE reports classified by CVSS severity and EPSS context from the FIRST.org API by building an automated vulnerability assessment pipeline integrating Nessus and OpenVAS REST APIs in Python for risk identification and control gap analysis.</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Documented SQL injection exploit and parameterised query remediation by developing an OWASP Top 10 automated web checker that sends crafted HTTP requests to detect injection, broken auth, and SSRF vulnerabilities for risk identification and escalation priorities.</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for risk identification and policy-based risk triage.</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