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and anomalous patterns;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 for security incident reporting.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Collaborated with compliance and risk teams to enforce regulatory policies, identify process control gaps, and implement corrective actions.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performed TCP/IP analysis in Wireshark to detect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&amp;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