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and accurate decision-making.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identifying policy violations and anomalous patterns, and escalated findings to senior reviewers, leading to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for recurring fraud patterns, detecting and flagging them early, which reduced repeat-issue investigation time before escalation.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capturing investigation findings, decisions, evidence notes, and corrective actions, ensuring transparency and accountability.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