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decision-making and efficient case resolution.</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leading to improved case accuracy and reduced repeat-issue investigation time.</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Analyzed 200+ weekly cases to identify recurring fraud patterns, flagged them early, and reduced repeat-issue investigation time before escalation, demonstrating proactive risk mitigation.</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investigation findings, decisions, evidence notes, and corrective actions in audit-ready case records, ensuring transparent and accountable case management and decision-making processes.</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for analysis, and cross-referencing WHOIS registration age, DNS records, and SSL details for phishing analysis.</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using Python, and checking live DNS resolution for brand-impersonation analysis.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using Python and Telegram bot, enabling analysts to submit URLs for live IOC enrichment (threat intelligence), supporting bulk CSV input/output for incident response workflows, and including OSINT enrichment (open-source intelligence) via theHarvester for domain profiling.</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using Python, integrating Nessus and OpenVAS REST APIs, and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(web application security) automated web checker using Python, sending crafted HTTP requests to detect injection, broken auth, and SSRF vulnerabilities, and documented SQL injection exploit and parameterised query remediation.</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using Bash and cron, and built delta-scan logic to flag newly discovered CVEs and organize patch compliance (remediation tracking) tracking evidence.</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 security</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