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compliance and risk mitigation.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findings, decisions, evidence, and corrective actions in audit-ready case notes.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and reducing repeat-issue investigation time before escalation, demonstrating risk prioritization and SLA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 using Python, Telegram bot, and theHarvester for domain profiling.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detecting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built delta-scan logic to flag new CVEs and track patch compliance with Python and Nessus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