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on 50+ weekly inventory reimbursement cases by severity and policy eligibility, ensuring compliance with financial risk management policies.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risk analysis and data analysis.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regulatory compliance.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