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6" w:after="16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reducing repeat-issue investigation time.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improving case resolution and reducing policy violations.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spot recurring fraud patterns, flagged them early, and reduced repeat-issue investigation time before escalation, resulting in enhanced case efficiency and reduced risk.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recording investigation findings, decisions, evidence notes, and corrective actions, ensuring compliance and transparency in case management.</w:t>
      </w:r>
    </w:p>
    <w:p w14:paraId="5D98801B" w14:textId="77777777" w:rsidR="00F07F8F" w:rsidRDefault="00F07F8F" w:rsidP="00F07F8F">
      <w:pPr>
        <w:spacing w:before="16" w:after="16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4CE68D4" w:rsidR="00F85316" w:rsidRDefault="00000000" w:rsidP="00F07F8F">
      <w:pPr>
        <w:spacing w:before="76" w:after="13"/>
      </w:pPr>
      <w:r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escalation, mapped to MITRE ATT&amp;CK TTPs and created PICERL incident reports.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16" w:after="16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URLScan.io, and cross-references WHOIS, DNS,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for brand-impersonation analysis.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</w:p>
    <w:p w14:paraId="3A497994" w14:textId="77777777" w:rsidR="00B76EA0" w:rsidRPr="00B76EA0" w:rsidRDefault="00B76EA0" w:rsidP="00B76EA0">
      <w:pPr>
        <w:pStyle w:val="ListParagraph"/>
        <w:spacing w:before="16" w:after="16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0" w:after="40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0" w:after="40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0" w:after="40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0" w:after="40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1A77139" w14:textId="77777777" w:rsidR="00F85316" w:rsidRDefault="00000000">
      <w:pPr>
        <w:spacing w:before="40" w:after="40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expressions, management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" w:after="16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992AF5"/>
    <w:rsid w:val="00A15DCE"/>
    <w:rsid w:val="00A311D5"/>
    <w:rsid w:val="00B02BA8"/>
    <w:rsid w:val="00B20ABD"/>
    <w:rsid w:val="00B76EA0"/>
    <w:rsid w:val="00CB1BF0"/>
    <w:rsid w:val="00E16895"/>
    <w:rsid w:val="00F07F8F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2026-04-29T08:58:00Z</dcterms:modified>
</cp:coreProperties>
</file>