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workflows, with 100% case resolution rate.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and escalated findings to senior reviewers, resulting in 95% accurate case decisions.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200+ weekly cases for recurring fraud patterns, flagged them early, and reduced repeat-issue investigation time by 30% before escalation.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investigation findings, decisions, evidence notes, and corrective actions in audit-ready case records, maintaining 99% compliance with review standards.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escalation; mapped TTPs to MITRE ATT&amp;CK and wrote PICERL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 IOC data,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for enterprise SOCs; analyzed TCP/IP traffic in Wireshark for SYN scans, DNS tunnelling, and plaintext credential exposure.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VirusTotal API, AbuseIPDB, WHOIS, Telegram bot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URLScan.io, cross-referencing WHOIS, DNS, and SSL details for phishing analysis.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Implemented typosquatting (brand impersonation detection) domain detector generating character-substitution variants of brand domains and checking live DNS resolution for brand-impersonation analysis.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live IOC enrichment, supporting bulk CSV input/output and OSINT enrichment via theHarvester for domain profiling.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