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workflows, with 100% accuracy.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resulting in 95% of cases being resolved within 3 days.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spot recurring fraud patterns, reducing repeat-issue investigation time by 30% before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maintaining a 99% compliance rate.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Python; generated CVE reports classified by CVSS severity (vulnerability prioritisation)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Created OWASP Top 10 (web application security) automated web checker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