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quality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compliance and transparency.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resulting in enhanced case efficiency and reduced risk.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TTPs, and created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track patch compliance using Nessus and OpenVAS results.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