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risk-based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risk prioritization.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WHOIS for analysis, cross-referencing WHOIS registration age, DNS records,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domain detector generating character-substitution variants of brand domains and checking live DNS resolution for brand-impersonation analysis using AbuseIPDB and WHOIS.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enrichment, supporting bulk CSV input/output for incident response workflows and including OSINT enrichment via WHOIS for domain profiling.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Python, generating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vulnerabilities, documenting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cron, built delta-scan logic to flag newly discovered CVEs and organize patch compliance tracking evidence using Nessus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