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identifying high-risk cases for early escalation and reducing repeat-issue investigation time before senior reviewer review.</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conducting root cause analysis to identify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Analyzed 200+ weekly cases to detect recurring fraud patterns, flagging them early to minimize financial loss and reducing repeat-issue investigation time before escalation.</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notes, recording investigation findings, decisions, evidence notes, and corrective actions</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 using Python and Nessus API.</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