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risk and policy eligibility; applied structured investigation logic, documented decisions per case, and escalated edge cases — sustaining systematic triage discipline across 80+ weeks of continuous high-volume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seller claims weekly; identified policy violations and anomalous reimbursement patterns; escalated structured findings with supporting evidence — maintaining 95%+ case accuracy under sustained operational pressure.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investigation findings, policy decisions, corrective actions, and audit trail — enabling retrospective review and evidence retrieval on demand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data patterns and flagged anomalies in seller claims data, identifying potential supply chain risks and recommending process improvements to mitigate these risks.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chain,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