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accuracy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documented investigation findings, decisions, evidence notes, and corrective actions, maintaining audit-ready case documentation and ensuring compliance.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patterns, flagged early, reducing repeat-issue investigation time and improving security outcomes.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 with escalation and prioritization.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