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routing high-risk claims to senior review within same-day SLA with no escalation omissions.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 for policy violations and anomalous patterns across 200+ weekly cases; documented root-cause findings with supporting evidence for senior reviewer sign-off.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structured case records capturing investigation rationale, policy evidence, and corrective actions, producing audit-ready documentation for compliance review.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multi-source risk assessment pipeline: submits vendor domains and IPs to VirusTotal, AbuseIPDB, and URLScan.io; cross-references WHOIS registration age, DNS records, and SSL certificate details for third-party due diligence.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domain reputation assessment tool generating typosquatting variants of monitored domains and checking live DNS resolution for vendor and partner ecosystem review.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automated risk assessment interface via Telegram bot enabling analysts to submit domains for enrichment; supports bulk CSV input/output for vendor risk assessment workflows and includes OSINT enrichment via theHarvester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APIs in Python; generated audit-ready CVE reports classified by CVSS severity with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compliance checker validating web application security controls against regulatory requirements; documented vulnerability-to-remediation audit trails including SQL injection evidence and parameterised query fixes.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compliance scan scheduling via Bash and cron; built delta-scan logic to track remediation progress and organize audit evidence for patch compliance review.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