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severity, policy, and risk assessment, applying security principles.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threat modeling and security validation.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actions, ensuring thorough vulnerability management and security audit compliance.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escalation, leveraging security engineering and software expertise.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classification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 with severity classification.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risk assessment,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