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claim investigation rate.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with 99% accurate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