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cases by severity and policy eligibility, following structured case triage and escalation workflows to support team growth.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identified policy violations and anomalous patterns, and escalated findings to senior reviewers for security decision-making.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evidence notes, and corrective actions to ensure repeat-issue investigation time reduction.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and supporting team growth.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scoring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vulnerabilities, documenting SQL injection exploit and remediation.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cron, built delta-scan logic for CVE flagging and remediation SLA deadlines (Critical=24hrs, High=7 days, Medium=30 days).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escalation, mapping to MITRE ATT&amp;CK (T1110, T1078, T1059) and writing incident reports.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classification, reducing mean time to triage.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rules, analyzing TCP/IP in Wireshark for SYN scans, DNS tunnelling, and plaintext credential exposure.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