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Professional Summary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Entry-level cybersecurity professional with hands-on experience in IAM / PAM domain, leveraging skills in Python, Bash, Linux, Splunk, Wireshark, Nmap, Burp Suite, Nessus, OpenVAS, MITRE ATT&amp;CK, OWASP Top 10, NIST CSF, ISO 27001 concepts, PCI-DSS concepts, GDPR concepts, TCP/IP, DNS, AWS basics, root cause analysis, and audit documentation.</w:t>
      </w:r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vulnerabilities, and implement corrective controls, building operational instincts in risk management and compliance monitoring.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Cloud Security Posture &amp; Threat Intelligence Monitoring Platform  |  </w:t>
        <w:tab/>
        <w:t>Python, AWS (IAM, CloudTrail, GuardDuty, Security Hub), Elastic SIEM, VirusTotal API, Volatility, MITRE ATT&amp;CK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hyperlink r:id="rId8" w:history="1">
        <w:r w:rsidR="00F85316">
          <w:rPr>
            <w:noProof/>
          </w:rPr>
          <w:drawing>
            <wp:inline distT="0" distB="0" distL="0" distR="0" wp14:anchorId="7B56B168" wp14:editId="47E0EAC7">
              <wp:extent cx="104775" cy="104775"/>
              <wp:effectExtent l="0" t="0" r="0" b="0"/>
              <wp:docPr id="1471047774" name="Picture 1471047774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End"/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CSPM tool using boto3 auditing IAM configurations for over-privileged roles, unrotated access keys, public S3 misconfigurations, and disabled MFA; maps findings to CIS AWS Benchmark.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threat intelligence pipeline ingesting IOC feeds (VirusTotal, AbuseIPDB, MalwareBazaar APIs) and enriching SIEM alerts with malware classification and ATT&amp;CK technique mapping.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DFIR triage using Volatility to extract running processes, network connections, and injected shellcode; correlated with Windows Event Logs to reconstruct attacker timelines.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Configured AWS CloudTrail and Elastic SIEM detection rules for IAM privilege escalation and CloudTrail log tampering; audited IAM policies against least-privilege principles.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GRC Compliance Automation &amp; Risk Intelligence Framework  |  </w:t>
        <w:tab/>
        <w:t>Python, NIST CSF, ISO 27001, PCI-DSS, GDPR/PDPB, Excel, Git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hyperlink r:id="rId10" w:history="1">
        <w:r w:rsidR="00F85316">
          <w:rPr>
            <w:noProof/>
          </w:rPr>
          <w:drawing>
            <wp:inline distT="0" distB="0" distL="0" distR="0" wp14:anchorId="1A9BA1D9" wp14:editId="5F9CB53B">
              <wp:extent cx="104775" cy="104775"/>
              <wp:effectExtent l="0" t="0" r="0" b="0"/>
              <wp:docPr id="1521653308" name="Picture 1521653308">
                <a:hlinkClick xmlns:a="http://schemas.openxmlformats.org/drawingml/2006/main" r:id="rId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GRC compliance tool mapping controls to NIST CSF, ISO 27001, and PCI-DSS; auto-generates gap analysis reports scoring each domain and flagging non-compliant controls.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third-party vendor risk module computing quantitative risk scores across 12 domains aligned with enterprise TPRM frameworks.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transaction anomaly detection engine flagging structuring, rapid velocity, and dormant account reactivation patterns applicable to fraud and AML roles.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GDPR/PDPB audit checklist evaluating consent management, data minimisation, and breach notification compliance with scored outputs.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Networking:  TCP/IP, DNS, HTTP/S, firewall concepts, IDS/IPS concepts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6427927" w14:textId="35C3C763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OS &amp; Scripting:  Linux (grep, netstat, log analysis), Windows internals, Active Directory (basics), PowerShell (basic), Python, Bash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1F2ECB33" w14:textId="08B05925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Risk &amp; Investigation:  Root cause analysis, policy-based case evaluation, audit documentation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1362AEF" w14:textId="705887DA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SIEM &amp; Tools:  Splunk (SPL), Wireshark, PCAP analysis, Windows Event Logs, Nmap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619F0A2" w14:textId="0F60A4DE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Operations Center (SOC):  Alert triage, log analysis, security monitoring, threat detection, incident escalation, endpoint security, ticketing system workflows</w:t>
      </w:r>
      <w:proofErr w:type="spellStart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C316093" w14:textId="09A19711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Frameworks:  MITRE ATT&amp;CK, Incident Response (PICERL), OWASP Top 10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