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with 100% of cases escalated to senior reviewers within 24 hours.</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resulting in a 25% reduction in repeat-issue investigation time.</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with 100% of case files meeting audit-ready standards.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by 25% before escalation to senior reviewers.</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Bash, and Nessus, documenting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