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risk analysis and assessment on 50+ weekly inventory reimbursement cases by severity and policy eligibility.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ensure regulatory compliance and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to produce a unified phishing probability score using Python and API integrations.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resolution, leveraging VirusTotal API and AbuseIPDB for brand-impersonation attack detection.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integrating EPSS scoring from FIRST.org API and CVSS severity for prioritisation.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and Bash to detect injection, auth, and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 using Nessus and OpenVAS APIs.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Analysis,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