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following structured workflows, resulting in timely decision-making and reduced issue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compliance with established policies and procedures.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findings, decisions, evidence, and corrective actions in audit-ready case notes.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in 200+ weekly cases, flagging early and reducing repeat-issue investigation time through proactive compliance monitoring and risk mitigation.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generating domain variants and checking live DNS resolution with AbuseIPDB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 and Telegram bot, enabling analysts to submit URLs for IOC enrichment, supporting bulk CSV input/output, and OSINT enrichment via theHarvester.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Python, integrating Nessus and OpenVAS APIs, and generating CVE reports with CVSS severity and EPSS context from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CVEs, organizing patch compliance (remediation tracking) tracking evidence with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