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routing high-risk claims to senior review within same-day SLA with no escalation omissions.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 for policy violations and anomalous patterns across 200+ weekly cases; documented root-cause findings with supporting evidence for senior reviewer sign-off.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records capturing investigation rationale, policy evidence, and corrective actions, producing audit-ready documentation for compliance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