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triage, escalation and decision workflows, producing audit‑ready case notes.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escalation reports.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Maintained audit‑ready documentation of investigation findings, decisions, evidence notes and corrective actions, delivering a control evidence package for compliance review.</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and AbuseIPDB, cross‑references WHOIS registration age, DNS records and SSL details, and outputs a structured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in Python that generates character‑substitution variants of brand domains, checks live DNS resolution for each variant, and produces a comprehensive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in Python that accepts URL submissions, enriches them with OSINT data via theHarvester, supports bulk CSV input and output, and delivers an enriched IOC feed for incident response workflows.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and OpenVAS REST APIs, retrieves CVE data from the NVD API, enriches findings with CVSS severity and EPSS context from the FIRST.org API, and generates a consolidated vulnerability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documents discovered SQL injection exploits and creates a remediation guide.</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using Bash and cron, added delta‑scan logic to flag newly discovered CVEs, and organized patch compliance tracking evidence for each affected asset.</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