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9" w:after="2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resulting in timely decision-making and efficient case resolution.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 analysis on seller claims, identifying policy violations and anomalous patterns, and escalated findings to senior reviewers, leading to informed decision-making and policy refinement.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records, capturing investigation findings, decisions, evidence notes, and corrective actions, ensuring transparent and accountable case management.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detection, lateral movement, and privilege escalation; mapped TTPs to MITRE ATT&amp;CK (TTP mapping)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29" w:after="29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(vulnerability prioritisation)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