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100% audit-ready case documentation.</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reducing repeat-issue investigation time by 30%.</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with findings, decisions, evidence notes, and corrective actions aligned to risk prioritization, SLA discipline, and remediation tracking.</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investigation findings, decisions, evidence notes, and corrective actions in audit-ready case notes, ensuring compliance tracking and decision trails.</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(remediation tracking) tracking evidence using Nessus, OpenVAS, and NVD API.</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