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 — building operational instincts directly applicable to GRC analyst, risk management, and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severity; implemented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