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control evidence, compliance tracking, and decision trails.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risk prioritization, SLA discipline, and remediation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multi-source risk assessment pipeline: submits vendor domains and IPs to VirusTotal, AbuseIPDB, and URLScan.io, cross-referencing WHOIS, DNS, and SSL certificate data for due diligence.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domain reputation assessment tool detecting typosquatting variants and live DNS resolution for vendor and partner ecosystem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for automated risk assessment, supporting bulk CSV input/output and OSINT enrichment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EPSS context from FIRST.org API and CVSS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checker, validating web app security controls against regulatory requirements, documenting vulnerability-to-remediation audit trails.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(remediation tracking)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