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 and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patterns, with 200+ weekly cases reviewed.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with 50+ weekly cases maintained.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