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high-quality audit-ready case documentation, recording investigation findings, decisions, evidence notes, and corrective actions for transparent decision-making.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