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decision-making and efficient issue resolution.</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ensuring accurate and thorough case analysis.</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Analyzed root cause of seller claims, documenting investigation findings, decisions, evidence notes, and corrective actions in audit-ready case records.</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Spotted recurring fraud patterns across 200+ weekly cases and flagged repeat issues early, reducing investigation cycles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(web application security) automated web checker using Python, sending crafted HTTP requests to detect injection, broken auth, and SSRF vulnerabilities, and documenting SQL injection exploit and parameterised query remediation.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(remediation tracking) tracking evidence using Nessus and OpenVAS REST APIs in Python.</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 security</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