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on 50+ weekly inventory reimbursement cases by severity and policy eligibility, utilizing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escalating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EPSS scoring.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