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with 100% case severity accuracy.</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reducing repeat-issue investigation time by 30%.</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with 99% documentation quality compliance.</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by 25%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