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suspicious pattern detection and investigation handoffs.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application security testing pipeline integrating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vulnerabilities; documented SQL injection exploit-to-remediation workflow with parameterised query fixes.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development cycles; built delta-scan logic to flag newly introduced CVEs for secure development lifecycle tracking.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