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50+ weekly inventory reimbursement cases by severity and policy eligibility, adhering to the structured alert triage and escalation workflow used in compliance and risk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