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regulatory guidelines and ensuring compliance with established procedures.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a strong understanding of regulatory requirements and compliance frameworks.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case documentation, recording investigation findings, decisions, and corrective actions for regulatory and compliance purposes.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classified by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