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and escalation workflow, achieving consistent case routing.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causes of seller claims, identified policy violations and anomalous patterns, and escalated findings to senior reviewers, enabling timely remediation.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audit‑ready case records with investigation findings, evidence notes, and corrective actions, supporting compliance reviews and traceability.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flagged early and reduced repeat‑issue investigation time before escalation, cutting duplicate reviews by 15%.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with SPL correlation searches for brute-force detection, lateral movement and privilege escalation and mapped TTPs to MITRE ATT&amp;CK, producing a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where Python script consumes Splunk alerts, enriches IOCs with internal threat intel, and creates severity-classified notification records.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deployment and performed packet analysis in Wireshark to identify SYN scans, DNS tunnelling and plaintext credential exposure, delivering a comprehensive detection rule set.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 Python that integrates Nessus and OpenVAS REST APIs and enriches findings with NVD data and EPSS context, generating detailed CVE reports.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web scanner in Python that sends crafted HTTP requests to detect injection, broken authentication and SSRF flaws and documented a SQL injection exploit with a parameterised query remediation guide.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with Bash scripts and cron, added delta-scan logic to flag newly discovered CVEs and compiled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