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high-risk cases for early escalation.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conducting root cause analysis to identify policy violations and anomalous patterns.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detect recurring fraud patterns, reducing repeat-issue investigation time by early flagging.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findings, decisions, evidence notes, and corrective actions, maintaining a comprehensive case record.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Information Security Risk Analyst, Program Lead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audit-ready documentation for risk assessments: created decision trails, evidence notes, and corrective actions for security control validation and compliance tracking.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Identified and flagged repeat security issues through pattern detection: recognized anomalies in audit logs, flagged control gaps, and escalated to management for remediation.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complete and accurate evidence records: ensured documentation completeness, tracked control validation, and updated risk assessments to reflect security posture.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Information Security Risk Analyst, Program Lead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Validated security controls through control validation: integrated Nessus and OpenVAS REST APIs in Python to generate CVE reports classified by CVSS severity (vulnerability prioritisation) and EPSS context from the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Prioritized security risks through risk assessment: developed OWASP Top 10 (web application security) automated web checker that documented SQL injection exploit and parameterised query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Tracked security compliance through patch tracking: automated scan scheduling via Bash and cron, and built delta-scan logic to flag newly discovered CVEs and organize patch compliance (remediation tracking) tracking evidence.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