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SOC Tier 1 analyst roles, and ensuring Quality Assurance.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SOC and fraud analyst operations, and adhering to Data Governance principles.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audit, and supporting Quality and Data Governance Analyst II-Mobility role at S&amp;P Global in Bengaluru, Karnataka, India.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 simultaneously; cross-references WHOIS registration age, DNS records, and SSL details to produce a unified phishing probability score, leveraging OSINT capabilities.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— catches brand-impersonation attacks before they reach threat feeds, utilizing Python and API integrations.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intelligence); supports bulk CSV input/output for incident response workflows and includes OSINT enrichment (open-source intelligence) via theHarvester for domain profiling, enhancing Mobility and Quality Assurance.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 — a metric rarely used by freshers, supporting Data Governance and Quality Assurance.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remediation, adhering to Quality and Data Governance principles.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tracking, ensuring Quality Assurance and Mobility.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