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triage and escalation workflows, achieving consistent case routing.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resulting in 40+ actionable escalations per week.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maintaining a compliant repository of over 1,000 cases.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25 early indicators and shortening repeat‑issue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