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regulatory requirements and financial regulations.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review and decision.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ensure compliance with tax laws and GAAP.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ensuring compliance with regulatory requirements.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Tax laws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